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4337E3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4337E3">
        <w:rPr>
          <w:b/>
          <w:sz w:val="32"/>
          <w:lang w:val="en-US"/>
        </w:rPr>
        <w:t>int</w:t>
      </w:r>
      <w:r w:rsidR="00E013D7">
        <w:rPr>
          <w:b/>
          <w:sz w:val="32"/>
          <w:lang w:val="en-US"/>
        </w:rPr>
        <w:t>etic</w:t>
      </w:r>
      <w:proofErr w:type="spellEnd"/>
      <w:r w:rsidR="00E013D7">
        <w:rPr>
          <w:b/>
          <w:sz w:val="32"/>
          <w:lang w:val="en-US"/>
        </w:rPr>
        <w:t xml:space="preserve"> H44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3"/>
        <w:gridCol w:w="1217"/>
        <w:gridCol w:w="1148"/>
        <w:gridCol w:w="1020"/>
        <w:gridCol w:w="4371"/>
        <w:gridCol w:w="3985"/>
      </w:tblGrid>
      <w:tr w:rsidR="004337E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D55F18" w:rsidRPr="00631D4A" w:rsidTr="003857E0">
        <w:trPr>
          <w:trHeight w:val="280"/>
        </w:trPr>
        <w:tc>
          <w:tcPr>
            <w:tcW w:w="3165" w:type="dxa"/>
          </w:tcPr>
          <w:p w:rsidR="00E013D7" w:rsidRDefault="00E013D7" w:rsidP="00E013D7">
            <w:proofErr w:type="spellStart"/>
            <w:r>
              <w:t>Сульфахлорированный</w:t>
            </w:r>
            <w:proofErr w:type="spellEnd"/>
            <w:r>
              <w:t xml:space="preserve"> парафин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4337E3" w:rsidRDefault="004337E3" w:rsidP="000729EA">
            <w:r>
              <w:t>Жидкость</w:t>
            </w:r>
          </w:p>
        </w:tc>
        <w:tc>
          <w:tcPr>
            <w:tcW w:w="966" w:type="dxa"/>
          </w:tcPr>
          <w:p w:rsidR="00D95BCD" w:rsidRPr="00D55F18" w:rsidRDefault="00054291" w:rsidP="00D95BCD">
            <w:pPr>
              <w:rPr>
                <w:lang w:val="en-US"/>
              </w:rPr>
            </w:pPr>
            <w:r>
              <w:t>Прим.</w:t>
            </w:r>
            <w:r w:rsidR="00E013D7">
              <w:rPr>
                <w:lang w:val="en-US"/>
              </w:rPr>
              <w:t>7</w:t>
            </w:r>
            <w:r w:rsidR="00F758FC">
              <w:t>,</w:t>
            </w:r>
            <w:r w:rsidR="00E013D7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E013D7" w:rsidRDefault="00E013D7" w:rsidP="00E013D7">
            <w:r>
              <w:t>1-3% как вспом</w:t>
            </w:r>
            <w:r>
              <w:t>огательный</w:t>
            </w:r>
            <w:r>
              <w:t xml:space="preserve">. продукт для проникновения. </w:t>
            </w:r>
          </w:p>
          <w:p w:rsidR="0065230D" w:rsidRDefault="00E013D7" w:rsidP="00E013D7">
            <w:r>
              <w:t xml:space="preserve">5-7% как </w:t>
            </w:r>
            <w:r w:rsidR="0065230D">
              <w:t>самостоятельный</w:t>
            </w:r>
            <w:r>
              <w:t xml:space="preserve"> жир</w:t>
            </w:r>
            <w:r w:rsidR="0065230D">
              <w:t>ующий</w:t>
            </w:r>
            <w:r>
              <w:t xml:space="preserve"> продукт для </w:t>
            </w:r>
            <w:proofErr w:type="spellStart"/>
            <w:r>
              <w:t>крастовых</w:t>
            </w:r>
            <w:proofErr w:type="spellEnd"/>
            <w:r>
              <w:t xml:space="preserve"> кож. </w:t>
            </w:r>
          </w:p>
          <w:p w:rsidR="00E013D7" w:rsidRDefault="00E013D7" w:rsidP="00E013D7">
            <w:r>
              <w:t>1-3 г/л для «дабл-фейс»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65230D" w:rsidP="00D95BCD">
            <w:r>
              <w:t>Его способность к проникновению, эмульгированию и повышения светостойкости, делает его идеальным продуктом в ка</w:t>
            </w:r>
            <w:r>
              <w:t>чест</w:t>
            </w:r>
            <w:r>
              <w:t xml:space="preserve">ве </w:t>
            </w:r>
            <w:proofErr w:type="spellStart"/>
            <w:r>
              <w:t>диспергирующего</w:t>
            </w:r>
            <w:proofErr w:type="spellEnd"/>
            <w:r>
              <w:t xml:space="preserve"> агента для всех типов жирующих процессов. Дает сухой ощупь. Его внутри смазывающая способность</w:t>
            </w:r>
            <w:r>
              <w:t xml:space="preserve"> </w:t>
            </w:r>
            <w:r>
              <w:t>делает его подходящим для велюра, нубука, лаковой кожи и кож вакуумной сушки.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13D7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2019-05-04T13:47:00Z</dcterms:created>
  <dcterms:modified xsi:type="dcterms:W3CDTF">2019-05-04T13:47:00Z</dcterms:modified>
</cp:coreProperties>
</file>